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CC3A6B" w:rsidRPr="008868F4" w:rsidRDefault="00CC3A6B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CC3A6B" w:rsidRPr="003667D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CC3A6B" w:rsidRPr="008868F4" w:rsidRDefault="00CC3A6B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CC3A6B" w:rsidRPr="003667D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594A2C32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C90EB5">
        <w:rPr>
          <w:rFonts w:ascii="Arial" w:hAnsi="Arial" w:cs="Arial"/>
          <w:b/>
          <w:sz w:val="28"/>
        </w:rPr>
        <w:t>mayo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0D64CA81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F6A28">
        <w:rPr>
          <w:rFonts w:ascii="Arial" w:hAnsi="Arial" w:cs="Arial"/>
          <w:sz w:val="28"/>
        </w:rPr>
        <w:t>08</w:t>
      </w:r>
      <w:r w:rsidR="00591071">
        <w:rPr>
          <w:rFonts w:ascii="Arial" w:hAnsi="Arial" w:cs="Arial"/>
          <w:sz w:val="28"/>
        </w:rPr>
        <w:t xml:space="preserve"> de </w:t>
      </w:r>
      <w:r w:rsidR="00984070">
        <w:rPr>
          <w:rFonts w:ascii="Arial" w:hAnsi="Arial" w:cs="Arial"/>
          <w:sz w:val="28"/>
        </w:rPr>
        <w:t>mayo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Pr="00216CE6" w:rsidRDefault="00267CC1">
          <w:pPr>
            <w:pStyle w:val="TtuloTDC"/>
            <w:rPr>
              <w:sz w:val="40"/>
            </w:rPr>
          </w:pPr>
          <w:r w:rsidRPr="00216CE6">
            <w:rPr>
              <w:sz w:val="40"/>
              <w:lang w:val="es-ES"/>
            </w:rPr>
            <w:t>Tabla de contenido</w:t>
          </w:r>
          <w:bookmarkStart w:id="0" w:name="_GoBack"/>
          <w:bookmarkEnd w:id="0"/>
        </w:p>
        <w:p w14:paraId="3875076F" w14:textId="611ECD58" w:rsidR="008251F8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 w:rsidRPr="00216CE6">
            <w:rPr>
              <w:b/>
              <w:bCs/>
              <w:sz w:val="28"/>
              <w:lang w:val="es-ES"/>
            </w:rPr>
            <w:fldChar w:fldCharType="begin"/>
          </w:r>
          <w:r w:rsidRPr="00216CE6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216CE6">
            <w:rPr>
              <w:b/>
              <w:bCs/>
              <w:sz w:val="28"/>
              <w:lang w:val="es-ES"/>
            </w:rPr>
            <w:fldChar w:fldCharType="separate"/>
          </w:r>
          <w:hyperlink w:anchor="_Toc200349104" w:history="1">
            <w:r w:rsidR="008251F8" w:rsidRPr="00927287">
              <w:rPr>
                <w:rStyle w:val="Hipervnculo"/>
                <w:noProof/>
              </w:rPr>
              <w:t>Introducción</w:t>
            </w:r>
            <w:r w:rsidR="008251F8">
              <w:rPr>
                <w:noProof/>
                <w:webHidden/>
              </w:rPr>
              <w:tab/>
            </w:r>
            <w:r w:rsidR="008251F8">
              <w:rPr>
                <w:noProof/>
                <w:webHidden/>
              </w:rPr>
              <w:fldChar w:fldCharType="begin"/>
            </w:r>
            <w:r w:rsidR="008251F8">
              <w:rPr>
                <w:noProof/>
                <w:webHidden/>
              </w:rPr>
              <w:instrText xml:space="preserve"> PAGEREF _Toc200349104 \h </w:instrText>
            </w:r>
            <w:r w:rsidR="008251F8">
              <w:rPr>
                <w:noProof/>
                <w:webHidden/>
              </w:rPr>
            </w:r>
            <w:r w:rsidR="008251F8"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3</w:t>
            </w:r>
            <w:r w:rsidR="008251F8">
              <w:rPr>
                <w:noProof/>
                <w:webHidden/>
              </w:rPr>
              <w:fldChar w:fldCharType="end"/>
            </w:r>
          </w:hyperlink>
        </w:p>
        <w:p w14:paraId="7CAB0AFB" w14:textId="7F0CC2EE" w:rsidR="008251F8" w:rsidRDefault="008251F8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0349105" w:history="1">
            <w:r w:rsidRPr="00927287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_Toc200349105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14155" w14:textId="1C51C1E8" w:rsidR="008251F8" w:rsidRDefault="008251F8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0349106" w:history="1">
            <w:r w:rsidRPr="00927287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_Toc200349106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4475A" w14:textId="2206D6E1" w:rsidR="008251F8" w:rsidRDefault="008251F8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0349107" w:history="1">
            <w:r w:rsidRPr="00927287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_Toc200349107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09A1" w14:textId="4C8910A5" w:rsidR="008251F8" w:rsidRDefault="008251F8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0349108" w:history="1">
            <w:r w:rsidRPr="00927287">
              <w:rPr>
                <w:rStyle w:val="Hipervnculo"/>
                <w:noProof/>
              </w:rPr>
              <w:t>Despacho de producto alimentario durante el mes de mayo 2025.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_Toc200349108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85FB2" w14:textId="421C97D5" w:rsidR="008251F8" w:rsidRDefault="008251F8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200349109" w:history="1">
            <w:r w:rsidRPr="00927287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_Toc200349109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2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68DE6FD4" w:rsidR="00267CC1" w:rsidRDefault="00267CC1">
          <w:r w:rsidRPr="00216CE6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200349104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200349105"/>
      <w:r w:rsidRPr="008C2472">
        <w:t>Funciones principales</w:t>
      </w:r>
      <w:bookmarkEnd w:id="2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200349106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200349107"/>
      <w:r>
        <w:t>Capacidad de almacenamiento</w:t>
      </w:r>
      <w:bookmarkEnd w:id="4"/>
    </w:p>
    <w:p w14:paraId="67D4F580" w14:textId="0A0381FF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r w:rsidR="008B0AD9">
        <w:rPr>
          <w:rFonts w:ascii="Arial" w:hAnsi="Arial" w:cs="Arial"/>
          <w:sz w:val="28"/>
        </w:rPr>
        <w:t xml:space="preserve">en </w:t>
      </w:r>
      <w:r w:rsidR="008B0AD9" w:rsidRPr="0073099C">
        <w:rPr>
          <w:rFonts w:ascii="Arial" w:hAnsi="Arial" w:cs="Arial"/>
          <w:sz w:val="28"/>
        </w:rPr>
        <w:t>siete</w:t>
      </w:r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Tactic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223F8B59" w:rsidR="0073099C" w:rsidRPr="00A84E58" w:rsidRDefault="00E0260A" w:rsidP="008C2472">
      <w:pPr>
        <w:pStyle w:val="Ttulo2"/>
      </w:pPr>
      <w:bookmarkStart w:id="5" w:name="_Toc200349108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C90EB5">
        <w:t>mayo</w:t>
      </w:r>
      <w:r w:rsidR="007A5240">
        <w:t xml:space="preserve"> 2025</w:t>
      </w:r>
      <w:r w:rsidR="00495395">
        <w:t>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0020AE1B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C90EB5">
        <w:rPr>
          <w:rFonts w:ascii="Arial" w:hAnsi="Arial" w:cs="Arial"/>
          <w:sz w:val="28"/>
        </w:rPr>
        <w:t>mayo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587"/>
        <w:gridCol w:w="1499"/>
        <w:gridCol w:w="2062"/>
        <w:gridCol w:w="658"/>
        <w:gridCol w:w="686"/>
        <w:gridCol w:w="759"/>
        <w:gridCol w:w="686"/>
        <w:gridCol w:w="1477"/>
        <w:gridCol w:w="1418"/>
        <w:gridCol w:w="992"/>
        <w:gridCol w:w="1701"/>
        <w:gridCol w:w="1134"/>
        <w:gridCol w:w="1134"/>
        <w:gridCol w:w="1273"/>
      </w:tblGrid>
      <w:tr w:rsidR="00F55A22" w:rsidRPr="00F55A22" w14:paraId="58FEB611" w14:textId="77777777" w:rsidTr="00EB2A52">
        <w:trPr>
          <w:trHeight w:val="297"/>
        </w:trPr>
        <w:tc>
          <w:tcPr>
            <w:tcW w:w="9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5C426626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lastRenderedPageBreak/>
              <w:t>Institución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A559897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40CBE26D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Municipio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68BA35F4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Idioma MAYA predominante</w:t>
            </w:r>
          </w:p>
        </w:tc>
        <w:tc>
          <w:tcPr>
            <w:tcW w:w="10645" w:type="dxa"/>
            <w:gridSpan w:val="1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AB4C0FC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AÑO: 2025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14:paraId="135C5A3E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 xml:space="preserve"> general</w:t>
            </w:r>
          </w:p>
        </w:tc>
      </w:tr>
      <w:tr w:rsidR="00F55A22" w:rsidRPr="00F55A22" w14:paraId="0266A462" w14:textId="77777777" w:rsidTr="00EB2A52">
        <w:trPr>
          <w:trHeight w:val="297"/>
        </w:trPr>
        <w:tc>
          <w:tcPr>
            <w:tcW w:w="9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E9B973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2043E0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7CC0C0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9F623A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10645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2C2F04C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MES:_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MAYO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1B896EA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</w:tr>
      <w:tr w:rsidR="00EB2A52" w:rsidRPr="00F55A22" w14:paraId="0FA6E0C6" w14:textId="77777777" w:rsidTr="00EB2A52">
        <w:trPr>
          <w:trHeight w:val="297"/>
        </w:trPr>
        <w:tc>
          <w:tcPr>
            <w:tcW w:w="9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6BD016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BEC3A1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07D7B7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8F7634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5A82761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ACEITE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EFBAD52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ARROZ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8351103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AZUCAR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6DA5AFC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FRIJOL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1E1468B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HARINA DE MAIZ NIXTAMALIZADA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A5C29E6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HOJUELAS DE AVENA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CC02981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MAIZ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305289D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MEZCLA DE HARINA DE MAIZ Y SOYA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7F3ADFA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A6650B3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SAL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  <w:hideMark/>
          </w:tcPr>
          <w:p w14:paraId="2232BDC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</w:p>
        </w:tc>
      </w:tr>
      <w:tr w:rsidR="00F55A22" w:rsidRPr="00F55A22" w14:paraId="74C819BD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3D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MAGA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E5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Alta Verapaz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A5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Chahal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96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'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BC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8B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23.60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19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F2C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35.39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A81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8F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D5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AE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70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40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6A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116.25</w:t>
            </w:r>
          </w:p>
        </w:tc>
      </w:tr>
      <w:tr w:rsidR="00F55A22" w:rsidRPr="00F55A22" w14:paraId="2C3912B4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F4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0F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23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Cobán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5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'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38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57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CB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E9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DB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A9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66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D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F2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0A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99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</w:tr>
      <w:tr w:rsidR="00F55A22" w:rsidRPr="00F55A22" w14:paraId="5B88B01C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A9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6A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50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Panzós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EA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'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6F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2E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-2.82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D9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41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35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1A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E3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E8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07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5C5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1A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0.39</w:t>
            </w:r>
          </w:p>
        </w:tc>
      </w:tr>
      <w:tr w:rsidR="00F55A22" w:rsidRPr="00F55A22" w14:paraId="547A1A2D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BB5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Alta Verapaz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A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9F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20.77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56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F3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36.50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53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D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11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EC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76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26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39C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116.70</w:t>
            </w:r>
          </w:p>
        </w:tc>
      </w:tr>
      <w:tr w:rsidR="00F55A22" w:rsidRPr="00F55A22" w14:paraId="5EF71081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17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41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Baja Verapaz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16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Cubulco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6C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CD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2B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39.44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3C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10.87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E1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59.15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C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49.29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08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535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C9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15.65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10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649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A5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194.28</w:t>
            </w:r>
          </w:p>
        </w:tc>
      </w:tr>
      <w:tr w:rsidR="00F55A22" w:rsidRPr="00F55A22" w14:paraId="3BF6D11E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FED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0C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FF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Granados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58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, Kaqchikel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A6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77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22.22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82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81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33.33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F1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956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0E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95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EF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E3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4B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109.45</w:t>
            </w:r>
          </w:p>
        </w:tc>
      </w:tr>
      <w:tr w:rsidR="00F55A22" w:rsidRPr="00F55A22" w14:paraId="654E25DA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507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2D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DA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Purulhá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D4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Pocomchi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', </w:t>
            </w: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6C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09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DC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D0E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57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1D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E4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AF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A3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AD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EB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17.92</w:t>
            </w:r>
          </w:p>
        </w:tc>
      </w:tr>
      <w:tr w:rsidR="00F55A22" w:rsidRPr="00F55A22" w14:paraId="0A615360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CB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D6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F3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Salamá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AD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32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6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96.24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AF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26.52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17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144.35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89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120.29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C2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35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56F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B2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12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3B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474.11</w:t>
            </w:r>
          </w:p>
        </w:tc>
      </w:tr>
      <w:tr w:rsidR="00F55A22" w:rsidRPr="00F55A22" w14:paraId="317D0ABC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B5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AD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F7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Jerónimo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8E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43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AD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1D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F0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10.57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D3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C9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1FF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A8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34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CC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2F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34.73</w:t>
            </w:r>
          </w:p>
        </w:tc>
      </w:tr>
      <w:tr w:rsidR="00F55A22" w:rsidRPr="00F55A22" w14:paraId="0C7718E4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DF3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9F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29.25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63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166.76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0B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46.26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E1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251.05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62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EA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7B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5E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51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15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64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830.49</w:t>
            </w:r>
          </w:p>
        </w:tc>
      </w:tr>
      <w:tr w:rsidR="00F55A22" w:rsidRPr="00F55A22" w14:paraId="097F7E06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06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E8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Chiquimula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D5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Jacinto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68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93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B9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AB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C46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10.55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A2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D1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A7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C1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141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F2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E5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34.64</w:t>
            </w:r>
          </w:p>
        </w:tc>
      </w:tr>
      <w:tr w:rsidR="00F55A22" w:rsidRPr="00F55A22" w14:paraId="58E7AEDC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280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Chiquimula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CC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7A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19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6E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1F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5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94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C98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E39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8A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AF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34.64</w:t>
            </w:r>
          </w:p>
        </w:tc>
      </w:tr>
      <w:tr w:rsidR="00F55A22" w:rsidRPr="00F55A22" w14:paraId="0E9DC2FB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B8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35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F1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Chinautla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00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Pocomam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32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1B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34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87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B9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48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095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D1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0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E1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54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1.60</w:t>
            </w:r>
          </w:p>
        </w:tc>
      </w:tr>
      <w:tr w:rsidR="00F55A22" w:rsidRPr="00F55A22" w14:paraId="57DFB8E2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70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1B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08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A5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18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F0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C3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89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D6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B8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D1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26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DF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A2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4C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16.18</w:t>
            </w:r>
          </w:p>
        </w:tc>
      </w:tr>
      <w:tr w:rsidR="00F55A22" w:rsidRPr="00F55A22" w14:paraId="30AFCB16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35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0B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FC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Villa Nueva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7D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0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3E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EC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E4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0A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47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FB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59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B8B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98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98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9.49</w:t>
            </w:r>
          </w:p>
        </w:tc>
      </w:tr>
      <w:tr w:rsidR="00F55A22" w:rsidRPr="00F55A22" w14:paraId="4BEC5D90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9ED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Guatemala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84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A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98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08A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FFD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B8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CA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0A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90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99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EB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27.28</w:t>
            </w:r>
          </w:p>
        </w:tc>
      </w:tr>
      <w:tr w:rsidR="00F55A22" w:rsidRPr="00F55A22" w14:paraId="71D1C340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482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77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Huehuetenango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8AA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Chiantla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56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Pocomam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F4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BE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7E1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22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AA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B3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C0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4DB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EC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AD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18.30</w:t>
            </w:r>
          </w:p>
        </w:tc>
      </w:tr>
      <w:tr w:rsidR="00F55A22" w:rsidRPr="00F55A22" w14:paraId="533061BA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F18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47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E1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E1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82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99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42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E3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B6F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DB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68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4F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18.30</w:t>
            </w:r>
          </w:p>
        </w:tc>
      </w:tr>
      <w:tr w:rsidR="00F55A22" w:rsidRPr="00F55A22" w14:paraId="41F9F3F6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FA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77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Izabal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02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Livingston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86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A8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71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17.74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8D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63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27.26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C6E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A9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BB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8E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0C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E1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FF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93.99</w:t>
            </w:r>
          </w:p>
        </w:tc>
      </w:tr>
      <w:tr w:rsidR="00F55A22" w:rsidRPr="00F55A22" w14:paraId="2EB38E51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B8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92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6B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Los Amates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82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01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45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4F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0E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82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A0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4F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83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955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F1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A1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</w:tr>
      <w:tr w:rsidR="00F55A22" w:rsidRPr="00F55A22" w14:paraId="35E419E0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F7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B8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E2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Morales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66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BC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BA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11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A4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79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F5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41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0C6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23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C2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35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-0.87</w:t>
            </w:r>
          </w:p>
        </w:tc>
      </w:tr>
      <w:tr w:rsidR="00F55A22" w:rsidRPr="00F55A22" w14:paraId="4B9EFCF2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73A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Izabal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F2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02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17.75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C5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85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F3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B0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5E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15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60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7E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55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93.14</w:t>
            </w:r>
          </w:p>
        </w:tc>
      </w:tr>
      <w:tr w:rsidR="00F55A22" w:rsidRPr="00F55A22" w14:paraId="2F52507D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9C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71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Jalapa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70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Jalapa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FC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56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66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0E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73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64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4EF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1B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14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01D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3C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7A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-4.26</w:t>
            </w:r>
          </w:p>
        </w:tc>
      </w:tr>
      <w:tr w:rsidR="00F55A22" w:rsidRPr="00F55A22" w14:paraId="7C366E85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8EB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0D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B0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Mataquescuintla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28D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DE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69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CC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D9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0F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89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10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96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B3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B2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B0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</w:tr>
      <w:tr w:rsidR="00F55A22" w:rsidRPr="00F55A22" w14:paraId="23B1AC32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98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70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C5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Monjas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C6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70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4E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129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B9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098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1F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FE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5D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6A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EE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D40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26.04</w:t>
            </w:r>
          </w:p>
        </w:tc>
      </w:tr>
      <w:tr w:rsidR="00F55A22" w:rsidRPr="00F55A22" w14:paraId="64799265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E9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C9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74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Luis Jilotepeque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26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Poqomam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472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5B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6E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A1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11.85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0C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71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E7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5B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E6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8F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A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58.21</w:t>
            </w:r>
          </w:p>
        </w:tc>
      </w:tr>
      <w:tr w:rsidR="00F55A22" w:rsidRPr="00F55A22" w14:paraId="2B3C653E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3FB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Jalapa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0E4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4A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BF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BB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19.48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72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69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0C8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18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2D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AF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09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80.02</w:t>
            </w:r>
          </w:p>
        </w:tc>
      </w:tr>
      <w:tr w:rsidR="00F55A22" w:rsidRPr="00F55A22" w14:paraId="2B9000CF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86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D2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Peten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16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La Libertad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6B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Q'eqchi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'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8C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F4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4A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2E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9A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A9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63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DC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1C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6E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60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</w:tr>
      <w:tr w:rsidR="00F55A22" w:rsidRPr="00F55A22" w14:paraId="10DBDE5C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15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04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05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Poptún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1D1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Mopan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BC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AF9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E4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ED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4E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B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2E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DF9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AC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CA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6E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</w:tr>
      <w:tr w:rsidR="00F55A22" w:rsidRPr="00F55A22" w14:paraId="7DE884A4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999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Peten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C0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65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78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3F5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C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96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02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B2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35F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62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CA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</w:tr>
      <w:tr w:rsidR="00F55A22" w:rsidRPr="00F55A22" w14:paraId="39A4FD6F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DC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B0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Quetzaltenango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80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Cajolá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C9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EC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8E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3E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30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D5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701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0F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A9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2C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26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49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40.56</w:t>
            </w:r>
          </w:p>
        </w:tc>
      </w:tr>
      <w:tr w:rsidR="00F55A22" w:rsidRPr="00F55A22" w14:paraId="2B7E003B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4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9D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47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Salcajá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99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K'iche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44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12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7D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25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FB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AD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0A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43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C3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3A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45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16.26</w:t>
            </w:r>
          </w:p>
        </w:tc>
      </w:tr>
      <w:tr w:rsidR="00F55A22" w:rsidRPr="00F55A22" w14:paraId="7120C30C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8A0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6A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4C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F4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A7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E9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54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167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DF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B7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F8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31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56.82</w:t>
            </w:r>
          </w:p>
        </w:tc>
      </w:tr>
      <w:tr w:rsidR="00F55A22" w:rsidRPr="00F55A22" w14:paraId="69D112DE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E5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61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Marcos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4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Tajumulco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691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33A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AD3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96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FC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9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E8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870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A3D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42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F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0A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14.39</w:t>
            </w:r>
          </w:p>
        </w:tc>
      </w:tr>
      <w:tr w:rsidR="00F55A22" w:rsidRPr="00F55A22" w14:paraId="602272FC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470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San Marcos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C4D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93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09A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46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8D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61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6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5A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BF0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C6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FC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14.39</w:t>
            </w:r>
          </w:p>
        </w:tc>
      </w:tr>
      <w:tr w:rsidR="00F55A22" w:rsidRPr="00F55A22" w14:paraId="66C9397E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21C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51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Rosa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A1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Oratorio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F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D4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89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77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1D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D6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F8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A8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34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A3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39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448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</w:tr>
      <w:tr w:rsidR="00F55A22" w:rsidRPr="00F55A22" w14:paraId="700785EA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0B9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Santa Rosa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CE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FA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24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A3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36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88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B8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E1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24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85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C9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0.02</w:t>
            </w:r>
          </w:p>
        </w:tc>
      </w:tr>
      <w:tr w:rsidR="00F55A22" w:rsidRPr="00F55A22" w14:paraId="7B6D57AA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78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16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Suchitepequez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262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Lorenzo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83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K'iche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18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5E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21.65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2D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04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32.48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57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2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11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7B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75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7F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CE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106.68</w:t>
            </w:r>
          </w:p>
        </w:tc>
      </w:tr>
      <w:tr w:rsidR="00F55A22" w:rsidRPr="00F55A22" w14:paraId="51C68C49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0E1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</w:t>
            </w:r>
            <w:proofErr w:type="spell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Suchitepequez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5C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53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21.65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47F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EE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32.48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10F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77A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8A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57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3F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4E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92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106.68</w:t>
            </w:r>
          </w:p>
        </w:tc>
      </w:tr>
      <w:tr w:rsidR="00F55A22" w:rsidRPr="00F55A22" w14:paraId="3127A75C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DA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0E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Zacapa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B1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Zacapa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A7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C79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01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74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A0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-6.94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F6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77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B8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C3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2F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C4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25B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-6.94</w:t>
            </w:r>
          </w:p>
        </w:tc>
      </w:tr>
      <w:tr w:rsidR="00F55A22" w:rsidRPr="00F55A22" w14:paraId="44EEC758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202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Zacapa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B8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50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50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8D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-6.94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E6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46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5F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6B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A6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C6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E4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-6.94</w:t>
            </w:r>
          </w:p>
        </w:tc>
      </w:tr>
      <w:tr w:rsidR="00F55A22" w:rsidRPr="00F55A22" w14:paraId="1B7AC400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17624BBF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MAGA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008A8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48.49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CEE9A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254.69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E5B31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75.02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15092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390.84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0BBCD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5817A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87.79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9097E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FFC7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24432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303F2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F37FC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1,371.74</w:t>
            </w:r>
          </w:p>
        </w:tc>
      </w:tr>
      <w:tr w:rsidR="00F55A22" w:rsidRPr="00F55A22" w14:paraId="1532D498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66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MIDES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0B4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Baja Verapaz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DE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Miguel Chicaj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95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9C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B3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BC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8C5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14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0C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A4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590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52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6E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E75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3.36</w:t>
            </w:r>
          </w:p>
        </w:tc>
      </w:tr>
      <w:tr w:rsidR="00F55A22" w:rsidRPr="00F55A22" w14:paraId="749A3F20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8E2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2C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1C3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0A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63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31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CC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D4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AA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2A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F6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20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3.36</w:t>
            </w:r>
          </w:p>
        </w:tc>
      </w:tr>
      <w:tr w:rsidR="00F55A22" w:rsidRPr="00F55A22" w14:paraId="78D95CD3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22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E3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Chiquimula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93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Chiquimula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83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F3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9E2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03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9F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10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86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C4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71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37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56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90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2.55</w:t>
            </w:r>
          </w:p>
        </w:tc>
      </w:tr>
      <w:tr w:rsidR="00F55A22" w:rsidRPr="00F55A22" w14:paraId="250A32BD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3B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60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0C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Jocotán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BB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Cho'rti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E3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43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C8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F6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95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20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92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95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29B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1EA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05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2.50</w:t>
            </w:r>
          </w:p>
        </w:tc>
      </w:tr>
      <w:tr w:rsidR="00F55A22" w:rsidRPr="00F55A22" w14:paraId="24D93636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1F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D4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CB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Olopa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93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Cho'rti</w:t>
            </w:r>
            <w:proofErr w:type="spellEnd"/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'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11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8E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9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B0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7D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C3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76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3B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61F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B5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53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</w:tr>
      <w:tr w:rsidR="00F55A22" w:rsidRPr="00F55A22" w14:paraId="584B694D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BF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A7B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809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Juan Ermita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0C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B5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EAB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1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F7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8D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F7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3E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DE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A5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90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21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</w:tr>
      <w:tr w:rsidR="00F55A22" w:rsidRPr="00F55A22" w14:paraId="4A35B902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CDB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Chiquimula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E4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E49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529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E6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A8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CE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05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85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3E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E7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08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8.05</w:t>
            </w:r>
          </w:p>
        </w:tc>
      </w:tr>
      <w:tr w:rsidR="00F55A22" w:rsidRPr="00F55A22" w14:paraId="4B00D95D" w14:textId="77777777" w:rsidTr="00EB2A52">
        <w:trPr>
          <w:trHeight w:val="297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CE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D7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B7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AC4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BD5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95A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D1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88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DE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44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CBA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299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80E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E1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25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5.40</w:t>
            </w:r>
          </w:p>
        </w:tc>
      </w:tr>
      <w:tr w:rsidR="00F55A22" w:rsidRPr="00F55A22" w14:paraId="3AE5ABE1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2BE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Guatemala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AA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F890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FB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E81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FF30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5E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9F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9DD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447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E56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B3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5.40</w:t>
            </w:r>
          </w:p>
        </w:tc>
      </w:tr>
      <w:tr w:rsidR="00F55A22" w:rsidRPr="00F55A22" w14:paraId="43C8A078" w14:textId="77777777" w:rsidTr="00EB2A52">
        <w:trPr>
          <w:trHeight w:val="297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FFBAD8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MIDES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AFBDB8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0E201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16.81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F23A45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B2451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10EC34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425BDC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CAE00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00ABCF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CBDA12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79D563" w14:textId="77777777" w:rsidR="00F55A22" w:rsidRPr="00F55A22" w:rsidRDefault="00F55A22" w:rsidP="00F55A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FBD93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16.81</w:t>
            </w:r>
          </w:p>
        </w:tc>
      </w:tr>
      <w:tr w:rsidR="00F55A22" w:rsidRPr="00F55A22" w14:paraId="1D339389" w14:textId="77777777" w:rsidTr="00EB2A52">
        <w:trPr>
          <w:trHeight w:val="371"/>
        </w:trPr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2C0E9BF" w14:textId="77777777" w:rsidR="00F55A22" w:rsidRPr="00F55A22" w:rsidRDefault="00F55A22" w:rsidP="00F55A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proofErr w:type="gramStart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Total</w:t>
            </w:r>
            <w:proofErr w:type="gramEnd"/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 xml:space="preserve"> general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DD4092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48.49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A70AD17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271.50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FACF624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75.02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96B920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390.84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ECEE7C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304.25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29F463E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87.79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35676CA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76.50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717FB0D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102.48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E06E921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27.28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A2A74CC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4.41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CF9FD6" w14:textId="77777777" w:rsidR="00F55A22" w:rsidRPr="00F55A22" w:rsidRDefault="00F55A22" w:rsidP="00F55A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</w:pPr>
            <w:r w:rsidRPr="00F55A22">
              <w:rPr>
                <w:rFonts w:eastAsia="Times New Roman" w:cstheme="minorHAnsi"/>
                <w:b/>
                <w:bCs/>
                <w:color w:val="FFFFFF"/>
                <w:sz w:val="18"/>
                <w:szCs w:val="16"/>
                <w:lang w:eastAsia="es-GT"/>
              </w:rPr>
              <w:t>1,388.55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CC3A6B" w:rsidRDefault="00CC3A6B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CC3A6B" w:rsidRDefault="00CC3A6B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CC3A6B" w:rsidRPr="00643A2B" w:rsidRDefault="00CC3A6B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CC3A6B" w:rsidRPr="00643A2B" w:rsidRDefault="00CC3A6B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200349109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23BC" w14:textId="77777777" w:rsidR="008B6BAA" w:rsidRDefault="008B6BAA" w:rsidP="00D4230A">
      <w:pPr>
        <w:spacing w:after="0" w:line="240" w:lineRule="auto"/>
      </w:pPr>
      <w:r>
        <w:separator/>
      </w:r>
    </w:p>
  </w:endnote>
  <w:endnote w:type="continuationSeparator" w:id="0">
    <w:p w14:paraId="7C76EE73" w14:textId="77777777" w:rsidR="008B6BAA" w:rsidRDefault="008B6BAA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CC3A6B" w:rsidRPr="004A2858" w:rsidRDefault="00CC3A6B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1489" w14:textId="77777777" w:rsidR="008B6BAA" w:rsidRDefault="008B6BAA" w:rsidP="00D4230A">
      <w:pPr>
        <w:spacing w:after="0" w:line="240" w:lineRule="auto"/>
      </w:pPr>
      <w:r>
        <w:separator/>
      </w:r>
    </w:p>
  </w:footnote>
  <w:footnote w:type="continuationSeparator" w:id="0">
    <w:p w14:paraId="63BC4473" w14:textId="77777777" w:rsidR="008B6BAA" w:rsidRDefault="008B6BAA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CC3A6B" w:rsidRDefault="00CC3A6B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CC3A6B" w:rsidRDefault="00CC3A6B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CC3A6B" w:rsidRDefault="008B6BAA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CC3A6B">
          <w:rPr>
            <w:color w:val="7F7F7F" w:themeColor="background1" w:themeShade="7F"/>
            <w:spacing w:val="60"/>
            <w:lang w:val="es-ES"/>
          </w:rPr>
          <w:t>Página</w:t>
        </w:r>
        <w:r w:rsidR="00CC3A6B">
          <w:rPr>
            <w:lang w:val="es-ES"/>
          </w:rPr>
          <w:t xml:space="preserve"> | </w:t>
        </w:r>
        <w:r w:rsidR="00CC3A6B">
          <w:fldChar w:fldCharType="begin"/>
        </w:r>
        <w:r w:rsidR="00CC3A6B">
          <w:instrText>PAGE   \* MERGEFORMAT</w:instrText>
        </w:r>
        <w:r w:rsidR="00CC3A6B">
          <w:fldChar w:fldCharType="separate"/>
        </w:r>
        <w:r w:rsidR="00CC3A6B" w:rsidRPr="00EC69AB">
          <w:rPr>
            <w:b/>
            <w:bCs/>
            <w:noProof/>
            <w:lang w:val="es-ES"/>
          </w:rPr>
          <w:t>6</w:t>
        </w:r>
        <w:r w:rsidR="00CC3A6B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24957"/>
    <w:rsid w:val="00045E52"/>
    <w:rsid w:val="000467E1"/>
    <w:rsid w:val="00046E0F"/>
    <w:rsid w:val="00060AAB"/>
    <w:rsid w:val="00081290"/>
    <w:rsid w:val="0008224F"/>
    <w:rsid w:val="00085185"/>
    <w:rsid w:val="000903D2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16CE6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545E7"/>
    <w:rsid w:val="00372123"/>
    <w:rsid w:val="00372C5D"/>
    <w:rsid w:val="00385D04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63850"/>
    <w:rsid w:val="0056596D"/>
    <w:rsid w:val="00573BB6"/>
    <w:rsid w:val="00591071"/>
    <w:rsid w:val="005A689A"/>
    <w:rsid w:val="005D47F4"/>
    <w:rsid w:val="005E72B4"/>
    <w:rsid w:val="00602E21"/>
    <w:rsid w:val="00613C22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065AD"/>
    <w:rsid w:val="00723D28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E2787"/>
    <w:rsid w:val="007F6A28"/>
    <w:rsid w:val="00802F47"/>
    <w:rsid w:val="00804392"/>
    <w:rsid w:val="00811AA2"/>
    <w:rsid w:val="008251F8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00E7"/>
    <w:rsid w:val="008824CE"/>
    <w:rsid w:val="008A473E"/>
    <w:rsid w:val="008A7752"/>
    <w:rsid w:val="008B0AD9"/>
    <w:rsid w:val="008B1C41"/>
    <w:rsid w:val="008B6BAA"/>
    <w:rsid w:val="008C2472"/>
    <w:rsid w:val="008C70CD"/>
    <w:rsid w:val="008D287B"/>
    <w:rsid w:val="008D28A0"/>
    <w:rsid w:val="008D4DC9"/>
    <w:rsid w:val="008D5405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84070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250C4"/>
    <w:rsid w:val="00B5054C"/>
    <w:rsid w:val="00B52B76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2403A"/>
    <w:rsid w:val="00C336A8"/>
    <w:rsid w:val="00C37588"/>
    <w:rsid w:val="00C435BD"/>
    <w:rsid w:val="00C640F5"/>
    <w:rsid w:val="00C6418B"/>
    <w:rsid w:val="00C662B7"/>
    <w:rsid w:val="00C874E5"/>
    <w:rsid w:val="00C90EB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671"/>
    <w:rsid w:val="00DD4CFA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E50"/>
    <w:rsid w:val="00EB0E12"/>
    <w:rsid w:val="00EB2A52"/>
    <w:rsid w:val="00EB6773"/>
    <w:rsid w:val="00EB6E69"/>
    <w:rsid w:val="00EC69AB"/>
    <w:rsid w:val="00ED4843"/>
    <w:rsid w:val="00EF7FD3"/>
    <w:rsid w:val="00F01E06"/>
    <w:rsid w:val="00F029FB"/>
    <w:rsid w:val="00F05333"/>
    <w:rsid w:val="00F15076"/>
    <w:rsid w:val="00F32E8D"/>
    <w:rsid w:val="00F435C3"/>
    <w:rsid w:val="00F476FF"/>
    <w:rsid w:val="00F55A22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1F83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58FD-01E5-49DE-801C-8BB79DBE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105</cp:revision>
  <cp:lastPrinted>2025-06-09T14:11:00Z</cp:lastPrinted>
  <dcterms:created xsi:type="dcterms:W3CDTF">2024-08-26T18:57:00Z</dcterms:created>
  <dcterms:modified xsi:type="dcterms:W3CDTF">2025-06-09T14:12:00Z</dcterms:modified>
</cp:coreProperties>
</file>